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tbl>
      <w:tblPr>
        <w:tblW w:w="108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378"/>
        <w:gridCol w:w="3648"/>
        <w:gridCol w:w="1285"/>
        <w:gridCol w:w="1283"/>
        <w:gridCol w:w="1283"/>
      </w:tblGrid>
      <w:tr>
        <w:tblPrEx>
          <w:shd w:val="clear" w:color="auto" w:fill="ceddeb"/>
        </w:tblPrEx>
        <w:trPr>
          <w:trHeight w:val="1501" w:hRule="atLeast"/>
        </w:trPr>
        <w:tc>
          <w:tcPr>
            <w:tcW w:type="dxa" w:w="10877"/>
            <w:gridSpan w:val="5"/>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Times New Roman" w:hAnsi="Times New Roman"/>
                <w:b w:val="1"/>
                <w:bCs w:val="1"/>
                <w:sz w:val="24"/>
                <w:szCs w:val="24"/>
                <w:lang w:val="en-US"/>
              </w:rPr>
              <w:drawing>
                <wp:inline distT="0" distB="0" distL="0" distR="0">
                  <wp:extent cx="2406650" cy="9072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406650" cy="907258"/>
                          </a:xfrm>
                          <a:prstGeom prst="rect">
                            <a:avLst/>
                          </a:prstGeom>
                          <a:ln w="12700" cap="flat">
                            <a:noFill/>
                            <a:miter lim="400000"/>
                          </a:ln>
                          <a:effectLst/>
                        </pic:spPr>
                      </pic:pic>
                    </a:graphicData>
                  </a:graphic>
                </wp:inline>
              </w:drawing>
            </w:r>
          </w:p>
        </w:tc>
      </w:tr>
      <w:tr>
        <w:tblPrEx>
          <w:shd w:val="clear" w:color="auto" w:fill="ceddeb"/>
        </w:tblPrEx>
        <w:trPr>
          <w:trHeight w:val="1135" w:hRule="atLeast"/>
        </w:trPr>
        <w:tc>
          <w:tcPr>
            <w:tcW w:type="dxa" w:w="10877"/>
            <w:gridSpan w:val="5"/>
            <w:tcBorders>
              <w:top w:val="nil"/>
              <w:left w:val="nil"/>
              <w:bottom w:val="nil"/>
              <w:right w:val="nil"/>
            </w:tcBorders>
            <w:shd w:val="clear" w:color="auto" w:fill="auto"/>
            <w:tcMar>
              <w:top w:type="dxa" w:w="80"/>
              <w:left w:type="dxa" w:w="80"/>
              <w:bottom w:type="dxa" w:w="80"/>
              <w:right w:type="dxa" w:w="80"/>
            </w:tcMar>
            <w:vAlign w:val="center"/>
          </w:tcPr>
          <w:p>
            <w:pPr>
              <w:pStyle w:val="Table Style 2"/>
            </w:pPr>
            <w:r>
              <w:rPr>
                <w:rFonts w:ascii="Calibri" w:cs="Calibri" w:hAnsi="Calibri" w:eastAsia="Calibri"/>
                <w:sz w:val="24"/>
                <w:szCs w:val="24"/>
                <w:rtl w:val="0"/>
                <w:lang w:val="en-US"/>
              </w:rPr>
              <w:t xml:space="preserve">     </w:t>
            </w:r>
            <w:r>
              <w:rPr>
                <w:rFonts w:ascii="Calibri" w:cs="Calibri" w:hAnsi="Calibri" w:eastAsia="Calibri"/>
                <w:sz w:val="24"/>
                <w:szCs w:val="24"/>
                <w:lang w:val="en-US"/>
              </w:rPr>
              <w:drawing>
                <wp:inline distT="0" distB="0" distL="0" distR="0">
                  <wp:extent cx="951920" cy="66835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951920" cy="668352"/>
                          </a:xfrm>
                          <a:prstGeom prst="rect">
                            <a:avLst/>
                          </a:prstGeom>
                          <a:ln w="12700" cap="flat">
                            <a:noFill/>
                            <a:miter lim="400000"/>
                          </a:ln>
                          <a:effectLst/>
                        </pic:spPr>
                      </pic:pic>
                    </a:graphicData>
                  </a:graphic>
                </wp:inline>
              </w:drawing>
            </w:r>
            <w:r>
              <w:rPr>
                <w:rFonts w:ascii="Calibri" w:cs="Calibri" w:hAnsi="Calibri" w:eastAsia="Calibri"/>
                <w:sz w:val="24"/>
                <w:szCs w:val="24"/>
                <w:rtl w:val="0"/>
                <w:lang w:val="en-US"/>
              </w:rPr>
              <w:t xml:space="preserve">                 </w:t>
            </w:r>
            <w:r>
              <w:rPr>
                <w:rFonts w:ascii="Calibri" w:cs="Calibri" w:hAnsi="Calibri" w:eastAsia="Calibri"/>
                <w:color w:val="521b92"/>
                <w:sz w:val="28"/>
                <w:szCs w:val="28"/>
                <w:u w:color="521b92"/>
                <w:rtl w:val="0"/>
                <w:lang w:val="en-US"/>
              </w:rPr>
              <w:t xml:space="preserve">     </w:t>
            </w:r>
            <w:r>
              <w:rPr>
                <w:rFonts w:ascii="Calibri" w:cs="Calibri" w:hAnsi="Calibri" w:eastAsia="Calibri"/>
                <w:b w:val="1"/>
                <w:bCs w:val="1"/>
                <w:color w:val="521b92"/>
                <w:sz w:val="28"/>
                <w:szCs w:val="28"/>
                <w:u w:color="521b92"/>
                <w:rtl w:val="0"/>
                <w:lang w:val="en-US"/>
              </w:rPr>
              <w:t xml:space="preserve">Drinks pre-order form  </w:t>
            </w:r>
            <w:r>
              <w:rPr>
                <w:rFonts w:ascii="Calibri" w:cs="Calibri" w:hAnsi="Calibri" w:eastAsia="Calibri"/>
                <w:b w:val="1"/>
                <w:bCs w:val="1"/>
                <w:sz w:val="24"/>
                <w:szCs w:val="24"/>
                <w:rtl w:val="0"/>
                <w:lang w:val="en-US"/>
              </w:rPr>
              <w:t xml:space="preserve"> </w:t>
            </w:r>
            <w:r>
              <w:rPr>
                <w:rFonts w:ascii="Calibri" w:cs="Calibri" w:hAnsi="Calibri" w:eastAsia="Calibri"/>
                <w:sz w:val="24"/>
                <w:szCs w:val="24"/>
                <w:rtl w:val="0"/>
                <w:lang w:val="en-US"/>
              </w:rPr>
              <w:t xml:space="preserve">       </w:t>
            </w:r>
            <w:r>
              <w:rPr>
                <w:rFonts w:ascii="Calibri" w:cs="Calibri" w:hAnsi="Calibri" w:eastAsia="Calibri"/>
                <w:sz w:val="24"/>
                <w:szCs w:val="24"/>
                <w:lang w:val="en-US"/>
              </w:rPr>
              <w:drawing>
                <wp:inline distT="0" distB="0" distL="0" distR="0">
                  <wp:extent cx="1989670" cy="39432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1989670" cy="394324"/>
                          </a:xfrm>
                          <a:prstGeom prst="rect">
                            <a:avLst/>
                          </a:prstGeom>
                          <a:ln w="12700" cap="flat">
                            <a:noFill/>
                            <a:miter lim="400000"/>
                          </a:ln>
                          <a:effectLst/>
                        </pic:spPr>
                      </pic:pic>
                    </a:graphicData>
                  </a:graphic>
                </wp:inline>
              </w:drawing>
            </w:r>
          </w:p>
        </w:tc>
      </w:tr>
      <w:tr>
        <w:tblPrEx>
          <w:shd w:val="clear" w:color="auto" w:fill="ceddeb"/>
        </w:tblPrEx>
        <w:trPr>
          <w:trHeight w:val="420" w:hRule="atLeast"/>
        </w:trPr>
        <w:tc>
          <w:tcPr>
            <w:tcW w:type="dxa" w:w="10877"/>
            <w:gridSpan w:val="5"/>
            <w:tcBorders>
              <w:top w:val="nil"/>
              <w:left w:val="nil"/>
              <w:bottom w:val="nil"/>
              <w:right w:val="nil"/>
            </w:tcBorders>
            <w:shd w:val="clear" w:color="auto" w:fill="auto"/>
            <w:tcMar>
              <w:top w:type="dxa" w:w="80"/>
              <w:left w:type="dxa" w:w="80"/>
              <w:bottom w:type="dxa" w:w="80"/>
              <w:right w:type="dxa" w:w="80"/>
            </w:tcMar>
            <w:vAlign w:val="top"/>
          </w:tcPr>
          <w:p>
            <w:pPr>
              <w:pStyle w:val="Body A"/>
              <w:jc w:val="center"/>
            </w:pPr>
            <w:r>
              <w:rPr>
                <w:b w:val="1"/>
                <w:bCs w:val="1"/>
                <w:sz w:val="24"/>
                <w:szCs w:val="24"/>
                <w:rtl w:val="0"/>
                <w:lang w:val="en-US"/>
              </w:rPr>
              <w:t xml:space="preserve">Pre-order your wine for discounted prices - </w:t>
            </w:r>
            <w:r>
              <w:rPr>
                <w:b w:val="1"/>
                <w:bCs w:val="1"/>
                <w:sz w:val="24"/>
                <w:szCs w:val="24"/>
                <w:rtl w:val="0"/>
                <w:lang w:val="en-US"/>
              </w:rPr>
              <w:t>£</w:t>
            </w:r>
            <w:r>
              <w:rPr>
                <w:b w:val="1"/>
                <w:bCs w:val="1"/>
                <w:sz w:val="24"/>
                <w:szCs w:val="24"/>
                <w:rtl w:val="0"/>
                <w:lang w:val="en-US"/>
              </w:rPr>
              <w:t>5 off each bottle</w:t>
            </w:r>
          </w:p>
        </w:tc>
      </w:tr>
      <w:tr>
        <w:tblPrEx>
          <w:shd w:val="clear" w:color="auto" w:fill="ceddeb"/>
        </w:tblPrEx>
        <w:trPr>
          <w:trHeight w:val="4960" w:hRule="atLeast"/>
        </w:trPr>
        <w:tc>
          <w:tcPr>
            <w:tcW w:type="dxa" w:w="10877"/>
            <w:gridSpan w:val="5"/>
            <w:tcBorders>
              <w:top w:val="nil"/>
              <w:left w:val="nil"/>
              <w:bottom w:val="single" w:color="515151" w:sz="8" w:space="0" w:shadow="0" w:frame="0"/>
              <w:right w:val="nil"/>
            </w:tcBorders>
            <w:shd w:val="clear" w:color="auto" w:fill="auto"/>
            <w:tcMar>
              <w:top w:type="dxa" w:w="80"/>
              <w:left w:type="dxa" w:w="80"/>
              <w:bottom w:type="dxa" w:w="80"/>
              <w:right w:type="dxa" w:w="80"/>
            </w:tcMar>
            <w:vAlign w:val="top"/>
          </w:tcPr>
          <w:p>
            <w:pPr>
              <w:pStyle w:val="Body A"/>
            </w:pPr>
            <w:r>
              <w:rPr>
                <w:rtl w:val="0"/>
                <w:lang w:val="en-US"/>
              </w:rPr>
              <w:t>We have introduced a wine pre-order system, that allows you to select the wines of your choice from our wine list prior to the event at discounted prices. Your wine will be ready for you at your table on the night.</w:t>
            </w:r>
          </w:p>
          <w:p>
            <w:pPr>
              <w:pStyle w:val="Body A"/>
              <w:rPr>
                <w:lang w:val="en-US"/>
              </w:rPr>
            </w:pPr>
          </w:p>
          <w:p>
            <w:pPr>
              <w:pStyle w:val="Body A"/>
            </w:pPr>
            <w:r>
              <w:rPr>
                <w:rtl w:val="0"/>
                <w:lang w:val="en-US"/>
              </w:rPr>
              <w:t>Wines will still be available to purchase at full price on the evening of the Ball but the selection may be limited depending on demand on the night.</w:t>
            </w:r>
          </w:p>
          <w:p>
            <w:pPr>
              <w:pStyle w:val="Body A"/>
              <w:rPr>
                <w:lang w:val="en-US"/>
              </w:rPr>
            </w:pPr>
          </w:p>
          <w:p>
            <w:pPr>
              <w:pStyle w:val="Body A"/>
            </w:pPr>
            <w:r>
              <w:rPr>
                <w:rtl w:val="0"/>
                <w:lang w:val="en-US"/>
              </w:rPr>
              <w:t>It may help to know that the main course will be roasted rump of lamb.</w:t>
            </w:r>
          </w:p>
          <w:p>
            <w:pPr>
              <w:pStyle w:val="Body A"/>
              <w:rPr>
                <w:lang w:val="en-US"/>
              </w:rPr>
            </w:pPr>
          </w:p>
          <w:p>
            <w:pPr>
              <w:pStyle w:val="Body A"/>
              <w:bidi w:val="0"/>
              <w:ind w:left="0" w:right="0" w:firstLine="0"/>
              <w:jc w:val="left"/>
              <w:rPr>
                <w:b w:val="1"/>
                <w:bCs w:val="1"/>
                <w:rtl w:val="0"/>
              </w:rPr>
            </w:pPr>
            <w:r>
              <w:rPr>
                <w:b w:val="1"/>
                <w:bCs w:val="1"/>
                <w:rtl w:val="0"/>
                <w:lang w:val="en-US"/>
              </w:rPr>
              <w:t>The form must be completed and paid for no later than</w:t>
            </w:r>
            <w:r>
              <w:rPr>
                <w:b w:val="1"/>
                <w:bCs w:val="1"/>
                <w:rtl w:val="0"/>
                <w:lang w:val="en-US"/>
              </w:rPr>
              <w:t> </w:t>
            </w:r>
            <w:r>
              <w:rPr>
                <w:b w:val="1"/>
                <w:bCs w:val="1"/>
                <w:rtl w:val="0"/>
                <w:lang w:val="en-US"/>
              </w:rPr>
              <w:t>Friday 28 April 2017. Any wine not paid for by this date, even if the form is returned, will not be pre-ordered.</w:t>
            </w:r>
          </w:p>
          <w:p>
            <w:pPr>
              <w:pStyle w:val="Body A"/>
              <w:rPr>
                <w:lang w:val="en-US"/>
              </w:rPr>
            </w:pPr>
          </w:p>
          <w:p>
            <w:pPr>
              <w:pStyle w:val="Body A"/>
              <w:bidi w:val="0"/>
              <w:ind w:left="0" w:right="0" w:firstLine="0"/>
              <w:jc w:val="left"/>
              <w:rPr>
                <w:b w:val="1"/>
                <w:bCs w:val="1"/>
                <w:rtl w:val="0"/>
              </w:rPr>
            </w:pPr>
            <w:r>
              <w:rPr>
                <w:b w:val="1"/>
                <w:bCs w:val="1"/>
                <w:rtl w:val="0"/>
                <w:lang w:val="en-US"/>
              </w:rPr>
              <w:t>Payment should be made by BACS to Friends of Holmewood, Barclays Bank</w:t>
            </w:r>
          </w:p>
          <w:p>
            <w:pPr>
              <w:pStyle w:val="Body A"/>
              <w:bidi w:val="0"/>
              <w:ind w:left="0" w:right="0" w:firstLine="0"/>
              <w:jc w:val="left"/>
              <w:rPr>
                <w:b w:val="1"/>
                <w:bCs w:val="1"/>
                <w:rtl w:val="0"/>
              </w:rPr>
            </w:pPr>
            <w:r>
              <w:rPr>
                <w:b w:val="1"/>
                <w:bCs w:val="1"/>
                <w:rtl w:val="0"/>
                <w:lang w:val="en-US"/>
              </w:rPr>
              <w:t>Sort code: 20-45-45, Account number: 03396371</w:t>
            </w:r>
          </w:p>
          <w:p>
            <w:pPr>
              <w:pStyle w:val="Body A"/>
              <w:bidi w:val="0"/>
              <w:ind w:left="0" w:right="0" w:firstLine="0"/>
              <w:jc w:val="left"/>
              <w:rPr>
                <w:b w:val="1"/>
                <w:bCs w:val="1"/>
                <w:rtl w:val="0"/>
              </w:rPr>
            </w:pPr>
            <w:r>
              <w:rPr>
                <w:b w:val="1"/>
                <w:bCs w:val="1"/>
                <w:rtl w:val="0"/>
                <w:lang w:val="en-US"/>
              </w:rPr>
              <w:t>Reference: Your Surname Wine e.g. MARJORIBANKS WINE</w:t>
            </w:r>
          </w:p>
          <w:p>
            <w:pPr>
              <w:pStyle w:val="Body A"/>
              <w:rPr>
                <w:b w:val="1"/>
                <w:bCs w:val="1"/>
                <w:lang w:val="en-US"/>
              </w:rPr>
            </w:pPr>
          </w:p>
          <w:p>
            <w:pPr>
              <w:pStyle w:val="Body A"/>
              <w:bidi w:val="0"/>
              <w:ind w:left="0" w:right="0" w:firstLine="0"/>
              <w:jc w:val="left"/>
              <w:rPr>
                <w:color w:val="011892"/>
                <w:u w:color="011892"/>
                <w:rtl w:val="0"/>
              </w:rPr>
            </w:pPr>
            <w:r>
              <w:rPr>
                <w:color w:val="011892"/>
                <w:u w:color="011892"/>
                <w:rtl w:val="0"/>
                <w:lang w:val="en-US"/>
              </w:rPr>
              <w:t>Please return the form to Friends of Holmewood at friends@holmewoodhouse.co.uk or leave a copy in the FOH Tray in Prep Reception.</w:t>
            </w:r>
          </w:p>
          <w:p>
            <w:pPr>
              <w:pStyle w:val="Body A"/>
              <w:rPr>
                <w:b w:val="1"/>
                <w:bCs w:val="1"/>
                <w:lang w:val="en-US"/>
              </w:rPr>
            </w:pPr>
          </w:p>
          <w:p>
            <w:pPr>
              <w:pStyle w:val="Body A"/>
            </w:pPr>
            <w:r>
              <w:rPr>
                <w:b w:val="1"/>
                <w:bCs w:val="1"/>
                <w:rtl w:val="0"/>
                <w:lang w:val="en-US"/>
              </w:rPr>
              <w:t>Name:</w:t>
            </w:r>
          </w:p>
        </w:tc>
      </w:tr>
      <w:tr>
        <w:tblPrEx>
          <w:shd w:val="clear" w:color="auto" w:fill="ceddeb"/>
        </w:tblPrEx>
        <w:trPr>
          <w:trHeight w:val="846" w:hRule="atLeast"/>
        </w:trPr>
        <w:tc>
          <w:tcPr>
            <w:tcW w:type="dxa" w:w="3378"/>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bdc0bf"/>
            <w:tcMar>
              <w:top w:type="dxa" w:w="80"/>
              <w:left w:type="dxa" w:w="80"/>
              <w:bottom w:type="dxa" w:w="80"/>
              <w:right w:type="dxa" w:w="80"/>
            </w:tcMar>
            <w:vAlign w:val="top"/>
          </w:tcPr>
          <w:p>
            <w:pPr>
              <w:pStyle w:val="Table Style 2"/>
            </w:pPr>
            <w:r>
              <w:rPr>
                <w:b w:val="1"/>
                <w:bCs w:val="1"/>
                <w:rtl w:val="0"/>
                <w:lang w:val="de-DE"/>
              </w:rPr>
              <w:t>Wine</w:t>
            </w:r>
          </w:p>
        </w:tc>
        <w:tc>
          <w:tcPr>
            <w:tcW w:type="dxa" w:w="3648"/>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bdc0bf"/>
            <w:tcMar>
              <w:top w:type="dxa" w:w="80"/>
              <w:left w:type="dxa" w:w="80"/>
              <w:bottom w:type="dxa" w:w="80"/>
              <w:right w:type="dxa" w:w="80"/>
            </w:tcMar>
            <w:vAlign w:val="top"/>
          </w:tcPr>
          <w:p>
            <w:pPr>
              <w:pStyle w:val="Table Style 2"/>
            </w:pPr>
            <w:r>
              <w:rPr>
                <w:b w:val="1"/>
                <w:bCs w:val="1"/>
                <w:rtl w:val="0"/>
                <w:lang w:val="fr-FR"/>
              </w:rPr>
              <w:t>Description</w:t>
            </w:r>
          </w:p>
        </w:tc>
        <w:tc>
          <w:tcPr>
            <w:tcW w:type="dxa" w:w="1284"/>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bdc0bf"/>
            <w:tcMar>
              <w:top w:type="dxa" w:w="80"/>
              <w:left w:type="dxa" w:w="80"/>
              <w:bottom w:type="dxa" w:w="80"/>
              <w:right w:type="dxa" w:w="80"/>
            </w:tcMar>
            <w:vAlign w:val="top"/>
          </w:tcPr>
          <w:p>
            <w:pPr>
              <w:pStyle w:val="Table Style 2"/>
            </w:pPr>
            <w:r>
              <w:rPr>
                <w:b w:val="1"/>
                <w:bCs w:val="1"/>
                <w:rtl w:val="0"/>
                <w:lang w:val="en-US"/>
              </w:rPr>
              <w:t>Pre-ordered price per bottle</w:t>
            </w:r>
          </w:p>
        </w:tc>
        <w:tc>
          <w:tcPr>
            <w:tcW w:type="dxa" w:w="1283"/>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bdc0bf"/>
            <w:tcMar>
              <w:top w:type="dxa" w:w="80"/>
              <w:left w:type="dxa" w:w="80"/>
              <w:bottom w:type="dxa" w:w="80"/>
              <w:right w:type="dxa" w:w="80"/>
            </w:tcMar>
            <w:vAlign w:val="top"/>
          </w:tcPr>
          <w:p>
            <w:pPr>
              <w:pStyle w:val="Table Style 2"/>
            </w:pPr>
            <w:r>
              <w:rPr>
                <w:b w:val="1"/>
                <w:bCs w:val="1"/>
                <w:rtl w:val="0"/>
                <w:lang w:val="en-US"/>
              </w:rPr>
              <w:t>Number of bottles required</w:t>
            </w:r>
          </w:p>
        </w:tc>
        <w:tc>
          <w:tcPr>
            <w:tcW w:type="dxa" w:w="1283"/>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bdc0bf"/>
            <w:tcMar>
              <w:top w:type="dxa" w:w="80"/>
              <w:left w:type="dxa" w:w="80"/>
              <w:bottom w:type="dxa" w:w="80"/>
              <w:right w:type="dxa" w:w="80"/>
            </w:tcMar>
            <w:vAlign w:val="top"/>
          </w:tcPr>
          <w:p>
            <w:pPr>
              <w:pStyle w:val="Table Style 2"/>
            </w:pPr>
            <w:r>
              <w:rPr>
                <w:b w:val="1"/>
                <w:bCs w:val="1"/>
                <w:rtl w:val="0"/>
              </w:rPr>
              <w:t>Total</w:t>
            </w:r>
          </w:p>
        </w:tc>
      </w:tr>
      <w:tr>
        <w:tblPrEx>
          <w:shd w:val="clear" w:color="auto" w:fill="ceddeb"/>
        </w:tblPrEx>
        <w:trPr>
          <w:trHeight w:val="310" w:hRule="atLeast"/>
        </w:trPr>
        <w:tc>
          <w:tcPr>
            <w:tcW w:type="dxa" w:w="3378"/>
            <w:tcBorders>
              <w:top w:val="single" w:color="515151"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b w:val="1"/>
                <w:bCs w:val="1"/>
                <w:rtl w:val="0"/>
                <w:lang w:val="it-IT"/>
              </w:rPr>
              <w:t>Champagne &amp; Sparkling</w:t>
            </w:r>
          </w:p>
        </w:tc>
        <w:tc>
          <w:tcPr>
            <w:tcW w:type="dxa" w:w="3648"/>
            <w:tcBorders>
              <w:top w:val="single" w:color="515151"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4"/>
            <w:tcBorders>
              <w:top w:val="single" w:color="515151"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515151"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515151"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4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Champagne H Blin NV (Champagne, France) </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Fine, sleek fizz with creamy green apple &amp; lemon flavours bound with a touch of toast.</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40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50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Perla Delicata Prosecco (Veneto, Italy)</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Soft &amp; delicious fizz with delicate hints of peach &amp; elderflower.</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20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1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b w:val="1"/>
                <w:bCs w:val="1"/>
                <w:rtl w:val="0"/>
                <w:lang w:val="en-US"/>
              </w:rPr>
              <w:t>White wines</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50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Govone Gavi di Gavi (Piedmont, Italy)</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Wonderfully light and refined Italian white. Dry with a subtle minerality.</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20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98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Paul Prieur Sancerre (Loire, France)</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Complex, understated and utterly delicious. Showing tingly tropical fruits and a lengthy finish this is a true classic.</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30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1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Calibri" w:cs="Calibri" w:hAnsi="Calibri" w:eastAsia="Calibri"/>
                <w:b w:val="1"/>
                <w:bCs w:val="1"/>
                <w:rtl w:val="0"/>
              </w:rPr>
              <w:t>Ros</w:t>
            </w:r>
            <w:r>
              <w:rPr>
                <w:rFonts w:ascii="Calibri" w:cs="Calibri" w:hAnsi="Calibri" w:eastAsia="Calibri"/>
                <w:b w:val="1"/>
                <w:bCs w:val="1"/>
                <w:rtl w:val="0"/>
                <w:lang w:val="fr-FR"/>
              </w:rPr>
              <w:t>é</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4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Pasquiers Grenache-Cinsault Ros</w:t>
            </w:r>
            <w:r>
              <w:rPr>
                <w:rFonts w:ascii="Helvetica" w:cs="Arial Unicode MS" w:hAnsi="Helvetica" w:eastAsia="Arial Unicode MS" w:hint="default"/>
                <w:rtl w:val="0"/>
              </w:rPr>
              <w:t xml:space="preserve">é  </w:t>
            </w:r>
            <w:r>
              <w:rPr>
                <w:rFonts w:ascii="Helvetica" w:cs="Arial Unicode MS" w:hAnsi="Helvetica" w:eastAsia="Arial Unicode MS"/>
                <w:rtl w:val="0"/>
              </w:rPr>
              <w:t>(Languedoc, France)</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Softly dry ros</w:t>
            </w:r>
            <w:r>
              <w:rPr>
                <w:rFonts w:ascii="Helvetica" w:cs="Arial Unicode MS" w:hAnsi="Helvetica" w:eastAsia="Arial Unicode MS" w:hint="default"/>
                <w:rtl w:val="0"/>
              </w:rPr>
              <w:t xml:space="preserve">é </w:t>
            </w:r>
            <w:r>
              <w:rPr>
                <w:rFonts w:ascii="Helvetica" w:cs="Arial Unicode MS" w:hAnsi="Helvetica" w:eastAsia="Arial Unicode MS"/>
                <w:rtl w:val="0"/>
              </w:rPr>
              <w:t>with rounded strawberry &amp; boysenberry fruits on a mid-weight palate.</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20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1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b w:val="1"/>
                <w:bCs w:val="1"/>
                <w:rtl w:val="0"/>
                <w:lang w:val="en-US"/>
              </w:rPr>
              <w:t>Red wines</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4"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Juanita Barberis Malbec (Mendoza, Argentina)</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Deep and rich with bags of ripe red &amp; black fruits and a touch of warm spice.</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20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4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pPr>
              <w:pStyle w:val="Table Style 2"/>
            </w:pPr>
            <w:r>
              <w:rPr>
                <w:rFonts w:ascii="Helvetica" w:cs="Arial Unicode MS" w:hAnsi="Helvetica" w:eastAsia="Arial Unicode MS"/>
                <w:rtl w:val="0"/>
              </w:rPr>
              <w:t>Chateau Cardinal Villemaurine           St Emilion Grand Cru (Bordeaux, France)</w:t>
            </w: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Serious St Emilion, unctuous red fruits and fine tannins showcase this wonderfully framed Bordeaux.</w:t>
            </w: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pPr>
              <w:pStyle w:val="Body"/>
              <w:jc w:val="right"/>
            </w:pPr>
            <w:r>
              <w:rPr>
                <w:rFonts w:ascii="Helvetica" w:hAnsi="Helvetica" w:hint="default"/>
                <w:sz w:val="20"/>
                <w:szCs w:val="20"/>
                <w:rtl w:val="0"/>
                <w:lang w:val="en-US"/>
              </w:rPr>
              <w:t>£</w:t>
            </w:r>
            <w:r>
              <w:rPr>
                <w:rFonts w:ascii="Helvetica" w:hAnsi="Helvetica"/>
                <w:sz w:val="20"/>
                <w:szCs w:val="20"/>
                <w:rtl w:val="0"/>
                <w:lang w:val="en-US"/>
              </w:rPr>
              <w:t>30</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500" w:hRule="atLeast"/>
        </w:trPr>
        <w:tc>
          <w:tcPr>
            <w:tcW w:type="dxa" w:w="3378"/>
            <w:tcBorders>
              <w:top w:val="single" w:color="a5a5a5" w:sz="8" w:space="0" w:shadow="0" w:frame="0"/>
              <w:left w:val="single" w:color="000000" w:sz="8" w:space="0" w:shadow="0" w:frame="0"/>
              <w:bottom w:val="single" w:color="a5a5a5" w:sz="8" w:space="0" w:shadow="0" w:frame="0"/>
              <w:right w:val="single" w:color="3f3f3f" w:sz="8" w:space="0" w:shadow="0" w:frame="0"/>
            </w:tcBorders>
            <w:shd w:val="clear" w:color="auto" w:fill="dbdbdb"/>
            <w:tcMar>
              <w:top w:type="dxa" w:w="80"/>
              <w:left w:type="dxa" w:w="80"/>
              <w:bottom w:type="dxa" w:w="80"/>
              <w:right w:type="dxa" w:w="80"/>
            </w:tcMar>
            <w:vAlign w:val="top"/>
          </w:tcPr>
          <w:p/>
        </w:tc>
        <w:tc>
          <w:tcPr>
            <w:tcW w:type="dxa" w:w="3648"/>
            <w:tcBorders>
              <w:top w:val="single" w:color="a5a5a5" w:sz="8" w:space="0" w:shadow="0" w:frame="0"/>
              <w:left w:val="single" w:color="3f3f3f" w:sz="8" w:space="0" w:shadow="0" w:frame="0"/>
              <w:bottom w:val="single" w:color="a5a5a5" w:sz="8" w:space="0" w:shadow="0" w:frame="0"/>
              <w:right w:val="single" w:color="a5a5a5" w:sz="8" w:space="0" w:shadow="0" w:frame="0"/>
            </w:tcBorders>
            <w:shd w:val="clear" w:color="auto" w:fill="e6e6e6"/>
            <w:tcMar>
              <w:top w:type="dxa" w:w="80"/>
              <w:left w:type="dxa" w:w="80"/>
              <w:bottom w:type="dxa" w:w="80"/>
              <w:right w:type="dxa" w:w="80"/>
            </w:tcMar>
            <w:vAlign w:val="top"/>
          </w:tcPr>
          <w:p/>
        </w:tc>
        <w:tc>
          <w:tcPr>
            <w:tcW w:type="dxa" w:w="1284"/>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e6e6e6"/>
            <w:tcMar>
              <w:top w:type="dxa" w:w="80"/>
              <w:left w:type="dxa" w:w="80"/>
              <w:bottom w:type="dxa" w:w="80"/>
              <w:right w:type="dxa" w:w="80"/>
            </w:tcMar>
            <w:vAlign w:val="top"/>
          </w:tcP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e6e6e6"/>
            <w:tcMar>
              <w:top w:type="dxa" w:w="80"/>
              <w:left w:type="dxa" w:w="80"/>
              <w:bottom w:type="dxa" w:w="80"/>
              <w:right w:type="dxa" w:w="80"/>
            </w:tcMar>
            <w:vAlign w:val="top"/>
          </w:tcPr>
          <w:p>
            <w:pPr>
              <w:pStyle w:val="Table Style 2"/>
            </w:pPr>
            <w:r>
              <w:rPr>
                <w:b w:val="1"/>
                <w:bCs w:val="1"/>
                <w:rtl w:val="0"/>
                <w:lang w:val="en-US"/>
              </w:rPr>
              <w:t>Amount paid</w:t>
            </w:r>
          </w:p>
        </w:tc>
        <w:tc>
          <w:tcPr>
            <w:tcW w:type="dxa" w:w="1283"/>
            <w:tcBorders>
              <w:top w:val="single" w:color="a5a5a5" w:sz="8" w:space="0" w:shadow="0" w:frame="0"/>
              <w:left w:val="single" w:color="a5a5a5" w:sz="8" w:space="0" w:shadow="0" w:frame="0"/>
              <w:bottom w:val="single" w:color="a5a5a5" w:sz="8" w:space="0" w:shadow="0" w:frame="0"/>
              <w:right w:val="single" w:color="a5a5a5" w:sz="8" w:space="0" w:shadow="0" w:frame="0"/>
            </w:tcBorders>
            <w:shd w:val="clear" w:color="auto" w:fill="ffffff"/>
            <w:tcMar>
              <w:top w:type="dxa" w:w="80"/>
              <w:left w:type="dxa" w:w="80"/>
              <w:bottom w:type="dxa" w:w="80"/>
              <w:right w:type="dxa" w:w="80"/>
            </w:tcMar>
            <w:vAlign w:val="top"/>
          </w:tcPr>
          <w:p/>
        </w:tc>
      </w:tr>
    </w:tbl>
    <w:p>
      <w:pPr>
        <w:pStyle w:val="Body"/>
      </w:pPr>
    </w:p>
    <w:sectPr>
      <w:headerReference w:type="default" r:id="rId7"/>
      <w:footerReference w:type="default" r:id="rId8"/>
      <w:pgSz w:w="11900" w:h="16840" w:orient="portrait"/>
      <w:pgMar w:top="0" w:right="0" w:bottom="0" w:left="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